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08" w:rsidRPr="00587508" w:rsidRDefault="00587508" w:rsidP="00587508">
      <w:pPr>
        <w:spacing w:after="0"/>
        <w:jc w:val="center"/>
        <w:rPr>
          <w:rFonts w:ascii="Times New Roman" w:eastAsia="Times New Roman" w:hAnsi="Times New Roman" w:cs="B Mitra"/>
          <w:b/>
          <w:bCs/>
          <w:sz w:val="36"/>
          <w:szCs w:val="36"/>
        </w:rPr>
      </w:pPr>
      <w:bookmarkStart w:id="0" w:name="_GoBack"/>
      <w:bookmarkEnd w:id="0"/>
      <w:r w:rsidRPr="00587508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امام باقر 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(</w:t>
      </w:r>
      <w:r w:rsidRPr="00587508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ع</w:t>
      </w:r>
      <w:r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>)</w:t>
      </w:r>
      <w:r w:rsidRPr="00587508">
        <w:rPr>
          <w:rFonts w:ascii="Times New Roman" w:eastAsia="Times New Roman" w:hAnsi="Times New Roman" w:cs="B Mitra"/>
          <w:b/>
          <w:bCs/>
          <w:sz w:val="36"/>
          <w:szCs w:val="36"/>
          <w:rtl/>
        </w:rPr>
        <w:t xml:space="preserve"> و فرقه های منحرف عقیدتی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587508" w:rsidRPr="00587508" w:rsidRDefault="00587508" w:rsidP="00587508">
      <w:pPr>
        <w:spacing w:after="240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اشاره 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از آن جا که عصر 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، روزگار برخورد اندیشه های اسلامی و غیراسلامی بود، دربارِ بنی امیه، مناظرات زیادی بین دانشمندان ادیان مختلف با امام سازمان دهی کرد و آخرین حکمرانان بنی امیه این سیاست کهنه و شکست خورده را بار دیگر از سر گرفتند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این نوشتار بر آن است تا به بررسی مبارزات امام با فرقه های منحرف عقیدتی بپردازد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</w:p>
    <w:p w:rsid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 w:hint="cs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</w:rPr>
        <w:t>1</w:t>
      </w: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ـ فرقه مرجئه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این فرقه در پایان نیمه اول قرن اول هجری پدید آمد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آنان بر این باور بودند که مرتکب گناهان کبیره، مخلّد در دوزخ نمی ماند، بلکه کار او را به خدا وامی گذاشتند و به این دلیل آنان را مرجئه می خواندند که آنان نیت را کافی می دانستند و بر این باور بودند که خدا نیز بر آن بسنده می کند و عذابشان نخواهد کرد.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پس از آن که در نبرد صفین، سپاه شام، سپاه امیرالمؤمنین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را به داوری کتاب خدا و سنت پیغمبر درباره خلافت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یا معاویه مجبور کرد و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به ناچار، حکمیت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ابوموسی اشعری»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عمر بن العاص» را پذیرفت و این دو داور، به خلع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از خلافت رأی دادند، خوارج،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معاویه را مرتکب گناهی بزرگ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حکمیت در دین خدا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دانستند و به دنبال این تهمت، این مسئله پیش آمد که وضعیت مرتکب گناه کبیره چگونه است؟ آیا در آتش جهنم مخلد خواهد بود؟ به دنبال این بحث، سخن از ایمان و حدود آن به میان آمد و این که ایمان چیست و مؤمن کیست؟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این نزاع، بستر سرکشی و فساد را برای حکمرانان مهیا کرد تا هر چه می خواهند بکنند و سرانجام کار را به خدا واگذارند؛ زیرا معصیت و گناه هیچ آسیبی به ایمان نمی رساند.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3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از این رو، حکمرانانِ بنی امیه تلاش زیادی در جهت تقویت پایگاه های اعتقادی مرجئه کردند که از جمله آنان،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حجاج بن یوسف ثقفی» را می توان نام برد.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4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این فرقه مرجئه از چهار گروه تشکیل شده که عبارت اند از: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یونسیه»،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عبدیه»،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فسانیه»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ثوبانیه» که هر یک اعتقادات خاص خود را دارند.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5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این فرقه در دوره امامت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نیز به فعالیت خود ادامه داد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 اتخاذ موضعی تند و آشکار با آنان مخالفت کرد و هر جا سخنی از آنان به میان می آمد آنان را لعن و نفرین می کرد و می فرمود: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پروردگارا، پیروان گروه مرجئه را از رحمت خود دور فرما که آنان دشمنان ما در دنیا و آخرت هستند».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6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</w:rPr>
        <w:t>2</w:t>
      </w: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ـ فرقه جبریه و قدریه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جبریه بر این باور بودند که انسان از خویش هیچ گونه اختیاری ندارد و مجبور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در مقابل آن، فرقه قدریه برآن بودند که هر بنده ای به وجود آورنده فعل خود است و خدا، کار او را به خودش وا نهاده و انسان حتی در اسباب کار یا انگیزه آن هم مختار است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7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این فرقه، درست در مقابل جبریه قرار داشت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این دو مسلک نیز در زمان خلافت امویان و در دوران حکمرانی معاویه به وجود آمدند و نزاع این دو، در تاریخ، پیشینه ای دراز دارد و در دوران حکمرانی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معاویة بن یزید»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یزید بن ولید» به اوج خود رسید.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8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امامیه، مشربی خلاف این دو نظر را پذیرفتند و امامان شیعه این مکتب را برای مردم تبیین کردند.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9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امام باقر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نیز، در این زمینه بسیار کوشید و با پیروان این دو نظر به شدت برخورد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ایشان در رد نظریه قدریه و جبریه فرمودند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پروردگار بر آفریدگان خود مهربان تر از آن است که آنان را به گناه وا دارد و سپس بر آن عذابشان نماید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رد دیدگاه جبریه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او عزیزتر از آن است که اراده انجام کاری را بکند و آن محقق نگردد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رد دیدگاه قدریه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).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او در پاسخ به این که آیا مشرب سومی هم وجود دارد، می فرمود: آری، گسترده تر از فاصله میان آسمان و زمین [و آن مشرب امر بین الامرین است].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10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587508" w:rsidRPr="00587508" w:rsidRDefault="00587508" w:rsidP="00587508">
      <w:pPr>
        <w:spacing w:before="100" w:beforeAutospacing="1" w:after="100" w:afterAutospacing="1"/>
        <w:jc w:val="center"/>
        <w:rPr>
          <w:rFonts w:ascii="Times New Roman" w:eastAsia="Times New Roman" w:hAnsi="Times New Roman" w:cs="B Mitra"/>
          <w:sz w:val="28"/>
          <w:szCs w:val="28"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</w:rPr>
        <w:t>3</w:t>
      </w: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ـ فرقه خوارج</w:t>
      </w:r>
    </w:p>
    <w:p w:rsidR="00587508" w:rsidRDefault="00587508" w:rsidP="00587508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این گروه نیز پس از داوری بین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معاویه در جنگ صفین پدید آمد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هنگام بازگشت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از صفین به کوفه، عده ای از لشگریان بر او شوریدند و حکمیت را بر خلاف اسلام دانستند و شعار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لا حکم الا لله» سر دادند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آنان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، معاویه، عثمان و حکمین را کافر شمردند؛ زیرا آنان، مرتکب گناهان کبیره را کافر می دانستند و ریختن خونشان را مباح برمی شمردند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آن ها دشمنان آشتی ناپذیر بنی امیه و زمین داران بزرگ و مخالف وجود املاک خصوصی بودند و با اصل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مخلوق بودن قرآن» به شدت مخالف بودند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از بزرگان آنان می توان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اشعث بن قیس کندی»،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مسعر بن فدکی تمیمی»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زید بن حصین طائی»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11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از فرقه های آن می توان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محکمه</w:t>
      </w:r>
      <w:r w:rsidRPr="00587508">
        <w:rPr>
          <w:rFonts w:ascii="Times New Roman" w:eastAsia="Times New Roman" w:hAnsi="Times New Roman" w:cs="B Mitra"/>
          <w:sz w:val="28"/>
          <w:szCs w:val="28"/>
        </w:rPr>
        <w:t>»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ازارقه»،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بیهسیه»،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عجارده»،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ثعالبه»،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اباضیه» و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صفریه» را نام برد.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12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آنان در طول تاریخ، رفتاری نابخردانه با امامان شیعه داشتند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در زمان امامت امام مجتبی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نیز، امام را به خاطر صلح او با معاویه بسیار سرزنش کردند.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13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در دوران امامت 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نیز مناظراتی بین آن ها و امام در گرفت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در رد مبانی و باورهای اعتقادی شان، آنان 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خُسران زده ترین آفریدگان خدا» دانسته که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دنیا و آخرت خود را تباه کرده اند»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14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به اصحاب خود می فرمود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به این پیمان گریزان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خوارج» بگویید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:</w:t>
      </w:r>
      <w:r w:rsidRPr="00587508">
        <w:rPr>
          <w:rFonts w:ascii="Times New Roman" w:eastAsia="Times New Roman" w:hAnsi="Times New Roman" w:cs="B Mitra"/>
          <w:sz w:val="28"/>
          <w:szCs w:val="28"/>
        </w:rPr>
        <w:t xml:space="preserve">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چگونه بر جدایی از علی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گردن نهادید؛ با وجود این که خونتان را پیش تر در راه فرمان برداری از او ارزانی داشتید و در خشنود کردن خدا بر هم پیشی می گرفتید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و اگر به شما گفتند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 xml:space="preserve">که ما بر حکم الهی گردن نهاده بودیم و شعار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لا حکم الا لله» سر دادند، در پاسخ بگویید: مگر خدا حکمیت را در دین خود نپذیرفته است؟ و مگر آن را به داوری دو نفر [در این آیه] وانگذارده که فرموده: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فَابَعثوا حَکَماً مِن أَهلِهِ وَ حَکماً مِن أهلها إن یُریدا اِصلاحاً یُوَفِّقِ اللهُ بَینَهما»؛ [هر گاه میان زن و شوهر اختلاف افتاد] یک نفر از جانب شوهر و یک نفر از جانب زن [به عنوان] داور برانگیزید تا اگر اصلاح را خواستند، خدا آنان را بر آن موفق سازد.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15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آیا رسول خدا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صلی الله علیه وآله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در ماجرای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بنی قریظه»،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سعد بن معاذ» را داور معرفی نکرد تا بر آن چه مورد پذیرش خداست، حکم کند؟ آیا نمی دانید که امیرالمؤمنین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با این شرط حکمیت را پذیرفت که آن دو حَکَم بر اساس کتاب خدا حُکم کنند و از آن فراتر نروند؟ آیا نگفت که اگر حکم آن ها بر خلاف کتاب خدا باشد نخواهد پذیرفت؟ وقتی داوری به پایان رسید، به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گفتند: کسی را داور خود ساختی که بر ضد تو حکم داد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آیا امیرالمؤمنین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نفرمود من به داوری کتاب خدا تن دادم، نه داوری یک شخص؟ حال باید گفت، در کجای این حکمیت انحراف از حکم قرآن است؟ و این در حالی است که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فرموده بود که حکمی را که خلاف قرآن باشد نخواهد پذیرفت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اتهام آنان به امیرالمؤمنین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پوچ و بی اساس است».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16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در مناظره ای دیگر، یکی از بزرگان خوارج که به برتری امیرالمؤمنین اقرار داشت، او را به کفر پس از ایمان در فرمانبرداری از خدا و رسولش متهم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به او فرمود: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آیا آن روز که خدا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را دوست داشت، نمی دانست که او روزی به دست یکی از اهل نهروان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خوارج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کشته می شود؟» مرد خارجی پذیرفت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پرسید: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آیا محبت خدا به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از روی فرمان برداری او از دستورهای خدا بود یا از روی گناه و سرکشی او؟» مرد گفت: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پیداست که از روی بندگی و اطاعت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بوده»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فرمود: [پس حال که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از روی اطاعت و فرمان برداری مورد محبت خدا واقع شده و خدا او را دوست می داشته، واضح است که تمامی اعمالش مورد پسند خدا بوده است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.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اینک بر خیز و برو!» مرد خارجی که در میدان بحث و مناظره با امام به سادگی شکست خورده بود، زیر لب گفت</w:t>
      </w:r>
      <w:r w:rsidRPr="00587508">
        <w:rPr>
          <w:rFonts w:ascii="Times New Roman" w:eastAsia="Times New Roman" w:hAnsi="Times New Roman" w:cs="B Mitra"/>
          <w:sz w:val="28"/>
          <w:szCs w:val="28"/>
        </w:rPr>
        <w:t xml:space="preserve">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اللّه أعلَم حیث یَجْعَلُ رِسالَتَهُ؛ خدا بهتر می داند که رسالت خود را بر دوش که نهد».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17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</w:rPr>
        <w:t>4</w:t>
      </w: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 xml:space="preserve">ـ فرقه غُلات 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غلات به معنای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گزافه گویان» 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ایشان فرقه ای از شیعه هستند که درباره امامانِ خودگزافه گویی کرده و آنان را تا سرحد خدایی رسانیده اند و یا قائل به حلول جوهر نورانی الهی در امامان شده اند یا به تناسخ قائل گردیده 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آنان چند دسته شدند، برخی گفتند امام علی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بعضی از امامان شیعه، خدا هستند و برخی دیگر از آنان گفتند که ایشان پیغمبرند.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18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جای شگفتی ندارد که ریشه عقاید آنان را در مذاهب حلولیه و تناسخیه مثل یهود و نصارا بدانیم و یا آن را خرم دینی و مزدکی بدانیم؛ زیرا جزیرة العرب و سرزمین بین النهرین و شامات، پیش از ظهور اسلام، کانون قبیله های مختلف عرب و غیر عرب و نیز برخوردگاه عقاید و ادیان گوناگون بوده است و نشانه های آشکاری از عقاید و دیدگاه های آنان در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برخی فِرَق اسلامی دیده می شود.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19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فرقه غلات مشتمل بر ده ها فرقه دیگر می شود که نام تمامی آن ها در نوشته های ملل نویسان موجود است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امامان شیعه اندیشه آنان را به شدت طرد کردند و آنان 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یهود ونصارا»ی امت پیامبر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صلی الله علیه وآله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نامیدند تا عمق انحراف و کج روی اندیشه آنان بر مسلمانان آشکار شود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</w:rPr>
        <w:t>5</w:t>
      </w: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ـ فرقه مغیریه</w:t>
      </w:r>
    </w:p>
    <w:p w:rsidR="00587508" w:rsidRDefault="00587508" w:rsidP="00587508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آنان پیروان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مغیرة بن سعید عجلی» و فرقه ای از غلات بودند که اعتقاد به رؤیت و تجسیم و نیز امامت او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مغیره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پس از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داشتند و می گفتند او منجی آخرالزمان است؛ نمی میرد و ظهور خواهد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هنگامی که او به قتل رسید، در بین یاران و پیروانش اختلاف افتاد و دسته ای از آنان در پندار انتظار ظهور او و رجعتش باقی ماندند و دسته ای دیگر قائل به انتظار ظهور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شدند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او فتاوی عجیبی در احکام دین از خود صادر کرد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مغیره در ابتدا قائل به امامت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بود ولی پس از مدتی، به غلو روی آورد و به خداوندی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معتقد شد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گاه نیز به یارانش در مورد امام می گفت: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منتظر ظهور او باشید که او باز خواهد گشت و جبرئیل و میکائیل با او بین رکن و مقام بیعت خواهند نمود».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20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دیگر امامان او را لعن و نفرین کردند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در روایات بسیاری او را لعن کرده فرمود: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خداوند و رسول اکرم، مغیرة بن سعید را از رحمت و دوستی خود دور گردانند که او دروغ های بسیاری بر ما اهل بیت بست».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21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امام در سخنی دیگر او را به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بلعم» تشبیه کرد که خداوند به او دانش عطا فرموده بود، ولی او از نشانه های خدا روی گرداند و از شیطان پیروی کرد و گمراه شد.22 امام صادق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نیز در مورد او فرمود: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خدا مغیرة بن سعید را لعنت کند! او بر پدرم دروغ بست و خدا نیز سختی عذابش را به او چشاند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خدا لعنت کند کسی را که چیزی در مورد ما بگوید که ما خود در مورد خویش نگفته ایم و خدا لعنت کند کسی را که نسبت بندگی خدا را از ما دور کند».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23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</w:rPr>
        <w:t>6</w:t>
      </w: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ـ فرقه جارودیه</w:t>
      </w:r>
    </w:p>
    <w:p w:rsidR="00587508" w:rsidRPr="00587508" w:rsidRDefault="00587508" w:rsidP="00587508">
      <w:pPr>
        <w:spacing w:after="0"/>
        <w:rPr>
          <w:rFonts w:ascii="Times New Roman" w:eastAsia="Times New Roman" w:hAnsi="Times New Roman" w:cs="B Mitra"/>
          <w:sz w:val="28"/>
          <w:szCs w:val="28"/>
        </w:rPr>
      </w:pP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جارودیه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»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یکی از فرق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زیدیه» است که رهبری آن 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ابوالجارود زیاد بن منذر سرحوب» بر عهده داشت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او از دانشمندان و شاگردان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بود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او نابینای مادر زاد بود و لقب سرحوب را امام باقر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به او داد که نام شیطانی نابیناست و در دریاها زندگی می کند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از این رو، نام دیگر این فرقه را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سرحوبیه» نیز گفته اند.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>
        <w:rPr>
          <w:rFonts w:ascii="Times New Roman" w:eastAsia="Times New Roman" w:hAnsi="Times New Roman" w:cs="B Mitra"/>
          <w:sz w:val="28"/>
          <w:szCs w:val="28"/>
          <w:rtl/>
        </w:rPr>
        <w:t>24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)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آنان پس از شهادت امام حسین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امامت را در فرزندان او و امام حسن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می دانند و هر که از فرزندان آن دو امام به پا خیزد و قیام کند، پیروی اش را در مقام امام، واجب می دانند.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25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</w:rPr>
        <w:br/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امام باقر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در دوران زندگانی خود، هر گاه ابوالجارود را می دید او را ارشاد می کرد و شیعیان را از نزدیک شدن به او باز می داشت و می فرمود: </w:t>
      </w:r>
      <w:r>
        <w:rPr>
          <w:rFonts w:ascii="Times New Roman" w:eastAsia="Times New Roman" w:hAnsi="Times New Roman" w:cs="B Mitra"/>
          <w:sz w:val="28"/>
          <w:szCs w:val="28"/>
          <w:rtl/>
        </w:rPr>
        <w:t>«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او شیطانی نابیناست</w:t>
      </w:r>
      <w:r>
        <w:rPr>
          <w:rFonts w:ascii="Times New Roman" w:eastAsia="Times New Roman" w:hAnsi="Times New Roman" w:cs="B Mitra"/>
          <w:sz w:val="28"/>
          <w:szCs w:val="28"/>
          <w:rtl/>
        </w:rPr>
        <w:t xml:space="preserve">. 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او کورچشم و کوردل است».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26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بین او و امام مناظره ای بر سر امامت فرزندان امام حسن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و امام حسین </w:t>
      </w:r>
      <w:r>
        <w:rPr>
          <w:rFonts w:ascii="Times New Roman" w:eastAsia="Times New Roman" w:hAnsi="Times New Roman" w:cs="B Mitra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علیه السلام</w:t>
      </w:r>
      <w:r>
        <w:rPr>
          <w:rFonts w:ascii="Times New Roman" w:eastAsia="Times New Roman" w:hAnsi="Times New Roman" w:cs="B Mitra"/>
          <w:sz w:val="28"/>
          <w:szCs w:val="28"/>
          <w:rtl/>
        </w:rPr>
        <w:t>)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 در گرفت در تاریخ نقل شده است.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(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>27</w:t>
      </w:r>
      <w:r>
        <w:rPr>
          <w:rFonts w:ascii="Times New Roman" w:eastAsia="Times New Roman" w:hAnsi="Times New Roman" w:cs="B Mitra" w:hint="cs"/>
          <w:sz w:val="28"/>
          <w:szCs w:val="28"/>
          <w:rtl/>
        </w:rPr>
        <w:t>)</w:t>
      </w:r>
    </w:p>
    <w:p w:rsid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587508" w:rsidRPr="00587508" w:rsidRDefault="00587508" w:rsidP="00587508">
      <w:pPr>
        <w:spacing w:before="100" w:beforeAutospacing="1" w:after="100" w:afterAutospacing="1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پی نوشت ها</w:t>
      </w:r>
      <w:r w:rsidRPr="00587508">
        <w:rPr>
          <w:rFonts w:ascii="Times New Roman" w:eastAsia="Times New Roman" w:hAnsi="Times New Roman" w:cs="B Mitra" w:hint="cs"/>
          <w:b/>
          <w:bCs/>
          <w:sz w:val="30"/>
          <w:szCs w:val="30"/>
          <w:rtl/>
        </w:rPr>
        <w:t>: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>
        <w:rPr>
          <w:rFonts w:ascii="Times New Roman" w:eastAsia="Times New Roman" w:hAnsi="Times New Roman" w:cs="B Mitra" w:hint="cs"/>
          <w:sz w:val="28"/>
          <w:szCs w:val="28"/>
          <w:rtl/>
        </w:rPr>
        <w:t>د</w:t>
      </w: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ائرة المعارف الشیعیة العامة، ج 17، ص 73.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معارف و معاریف، ج 9، ص 269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الملل و النحل، ص 60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فرهنگ فرق اسلامی، 1368 ش، ص 406-404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دائرة المعارف الشیعیة العامة، ج 17، ص 73.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بحار الانوار، ج 46، ص 291.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موسوعة الملل و النحل، ص 36. دائرة المعارف الشیعیة العامة، ج 14، ص 286. معارف و معاریف، ج 8، ص 261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فرهنگ فرق اسلامی، ص 358. معارف و معاریف، ج 8، ص 261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اصول کافی، ج 1، ص 445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اصول کافی، ج 1، 452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فرهنگ فرق اسلامی، ص 186-188. الملل و النحل، ص 50. معارف و معاریف، ج 5، ص 244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موسوعة الملل و النحل، ص 50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بحار الانوار، ج 2، ص 298.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همان، ج 44، ص 13.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نساء/ 35.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الاحتجاج، ج 1، ص 174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بحار الانوار، ج 21، ص 26. 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فرهنگ فرق اسلامی، ص 344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موسوعة الملل و النحل، ص 81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بحار الانوار، ج 2، ص 250 و ج 4، ص 303 و ج 25، ص 134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موسوعة الملل و النحل، ص 75-76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قاموس الرجال، ج 10، ص 191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همان، ص 190؛ اختیار معرفة الرجال، ج 1، ص 494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lastRenderedPageBreak/>
        <w:t>همان، ص 188 و 491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اختیار معرفة الرجال، ج 3، ص 495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 w:hint="cs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 xml:space="preserve">فرهنگ فرق اسلامی، ص 227. موسوعه الملل و النحل، ص 68. </w:t>
      </w:r>
    </w:p>
    <w:p w:rsidR="00587508" w:rsidRPr="00587508" w:rsidRDefault="00587508" w:rsidP="00587508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B Mitra"/>
          <w:sz w:val="28"/>
          <w:szCs w:val="28"/>
        </w:rPr>
      </w:pPr>
      <w:r w:rsidRPr="00587508">
        <w:rPr>
          <w:rFonts w:ascii="Times New Roman" w:eastAsia="Times New Roman" w:hAnsi="Times New Roman" w:cs="B Mitra"/>
          <w:sz w:val="28"/>
          <w:szCs w:val="28"/>
          <w:rtl/>
        </w:rPr>
        <w:t>اختیار معرفة الرجال، ج 3، ص 495</w:t>
      </w:r>
      <w:r w:rsidRPr="00587508">
        <w:rPr>
          <w:rFonts w:ascii="Times New Roman" w:eastAsia="Times New Roman" w:hAnsi="Times New Roman" w:cs="B Mitra"/>
          <w:sz w:val="28"/>
          <w:szCs w:val="28"/>
        </w:rPr>
        <w:t>.</w:t>
      </w:r>
    </w:p>
    <w:p w:rsidR="00587508" w:rsidRDefault="00587508" w:rsidP="00587508">
      <w:pPr>
        <w:spacing w:after="0"/>
        <w:rPr>
          <w:rFonts w:ascii="Times New Roman" w:eastAsia="Times New Roman" w:hAnsi="Times New Roman" w:cs="B Mitra" w:hint="cs"/>
          <w:sz w:val="28"/>
          <w:szCs w:val="28"/>
          <w:rtl/>
        </w:rPr>
      </w:pPr>
    </w:p>
    <w:p w:rsidR="002856FB" w:rsidRPr="00587508" w:rsidRDefault="00587508" w:rsidP="00587508">
      <w:pPr>
        <w:spacing w:after="0"/>
        <w:rPr>
          <w:rFonts w:ascii="Times New Roman" w:eastAsia="Times New Roman" w:hAnsi="Times New Roman" w:cs="B Mitra"/>
          <w:b/>
          <w:bCs/>
          <w:sz w:val="30"/>
          <w:szCs w:val="30"/>
        </w:rPr>
      </w:pPr>
      <w:r w:rsidRPr="00587508">
        <w:rPr>
          <w:rFonts w:ascii="Times New Roman" w:eastAsia="Times New Roman" w:hAnsi="Times New Roman" w:cs="B Mitra"/>
          <w:b/>
          <w:bCs/>
          <w:sz w:val="30"/>
          <w:szCs w:val="30"/>
          <w:rtl/>
        </w:rPr>
        <w:t>منبع: سایت حوزه</w:t>
      </w:r>
    </w:p>
    <w:sectPr w:rsidR="002856FB" w:rsidRPr="00587508" w:rsidSect="00FC3C6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16053"/>
    <w:multiLevelType w:val="hybridMultilevel"/>
    <w:tmpl w:val="DCBC9FB2"/>
    <w:lvl w:ilvl="0" w:tplc="D3CA9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08"/>
    <w:rsid w:val="00014630"/>
    <w:rsid w:val="000155A9"/>
    <w:rsid w:val="00016532"/>
    <w:rsid w:val="00033EDD"/>
    <w:rsid w:val="0006343F"/>
    <w:rsid w:val="00087C39"/>
    <w:rsid w:val="000E3C44"/>
    <w:rsid w:val="00115419"/>
    <w:rsid w:val="00156A7D"/>
    <w:rsid w:val="001921A7"/>
    <w:rsid w:val="001B7DB6"/>
    <w:rsid w:val="001D3082"/>
    <w:rsid w:val="001F00DB"/>
    <w:rsid w:val="0020249A"/>
    <w:rsid w:val="00203AB4"/>
    <w:rsid w:val="00223BB4"/>
    <w:rsid w:val="002317A7"/>
    <w:rsid w:val="00244932"/>
    <w:rsid w:val="00264B24"/>
    <w:rsid w:val="002856FB"/>
    <w:rsid w:val="002F5A9F"/>
    <w:rsid w:val="0031651B"/>
    <w:rsid w:val="0032084F"/>
    <w:rsid w:val="003677EC"/>
    <w:rsid w:val="003F640E"/>
    <w:rsid w:val="00401B60"/>
    <w:rsid w:val="00427618"/>
    <w:rsid w:val="00435081"/>
    <w:rsid w:val="004501F6"/>
    <w:rsid w:val="00463E80"/>
    <w:rsid w:val="004667C3"/>
    <w:rsid w:val="004B0636"/>
    <w:rsid w:val="004F1A2F"/>
    <w:rsid w:val="0055618D"/>
    <w:rsid w:val="00587508"/>
    <w:rsid w:val="00616FD9"/>
    <w:rsid w:val="00632719"/>
    <w:rsid w:val="00660F6A"/>
    <w:rsid w:val="00693DE6"/>
    <w:rsid w:val="006E00CA"/>
    <w:rsid w:val="00700B0D"/>
    <w:rsid w:val="00797369"/>
    <w:rsid w:val="007E6554"/>
    <w:rsid w:val="008166DE"/>
    <w:rsid w:val="008B7E82"/>
    <w:rsid w:val="008F3968"/>
    <w:rsid w:val="0091236D"/>
    <w:rsid w:val="00967CAD"/>
    <w:rsid w:val="00981415"/>
    <w:rsid w:val="009C3C72"/>
    <w:rsid w:val="009E7B8E"/>
    <w:rsid w:val="00A6293D"/>
    <w:rsid w:val="00A95E08"/>
    <w:rsid w:val="00AA7E94"/>
    <w:rsid w:val="00AB76D1"/>
    <w:rsid w:val="00B15DEB"/>
    <w:rsid w:val="00B9724E"/>
    <w:rsid w:val="00BA665C"/>
    <w:rsid w:val="00C06449"/>
    <w:rsid w:val="00CD3531"/>
    <w:rsid w:val="00CD7454"/>
    <w:rsid w:val="00CD7B47"/>
    <w:rsid w:val="00CE4E5C"/>
    <w:rsid w:val="00D608BD"/>
    <w:rsid w:val="00D77884"/>
    <w:rsid w:val="00E178A5"/>
    <w:rsid w:val="00E30A73"/>
    <w:rsid w:val="00E35B78"/>
    <w:rsid w:val="00F12D66"/>
    <w:rsid w:val="00F569B3"/>
    <w:rsid w:val="00FA6513"/>
    <w:rsid w:val="00FB6684"/>
    <w:rsid w:val="00FC3C67"/>
    <w:rsid w:val="00FD1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587508"/>
  </w:style>
  <w:style w:type="paragraph" w:styleId="BalloonText">
    <w:name w:val="Balloon Text"/>
    <w:basedOn w:val="Normal"/>
    <w:link w:val="BalloonTextChar"/>
    <w:uiPriority w:val="99"/>
    <w:semiHidden/>
    <w:unhideWhenUsed/>
    <w:rsid w:val="0058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">
    <w:name w:val="r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titr">
    <w:name w:val="pey_titr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eybody">
    <w:name w:val="pey_body"/>
    <w:basedOn w:val="Normal"/>
    <w:rsid w:val="00587508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zam">
    <w:name w:val="p_zam"/>
    <w:basedOn w:val="DefaultParagraphFont"/>
    <w:rsid w:val="00587508"/>
  </w:style>
  <w:style w:type="paragraph" w:styleId="BalloonText">
    <w:name w:val="Balloon Text"/>
    <w:basedOn w:val="Normal"/>
    <w:link w:val="BalloonTextChar"/>
    <w:uiPriority w:val="99"/>
    <w:semiHidden/>
    <w:unhideWhenUsed/>
    <w:rsid w:val="00587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7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1597</Words>
  <Characters>9107</Characters>
  <Application>Microsoft Office Word</Application>
  <DocSecurity>0</DocSecurity>
  <Lines>75</Lines>
  <Paragraphs>21</Paragraphs>
  <ScaleCrop>false</ScaleCrop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 Mahdi</dc:creator>
  <cp:lastModifiedBy>Ya Mahdi</cp:lastModifiedBy>
  <cp:revision>1</cp:revision>
  <dcterms:created xsi:type="dcterms:W3CDTF">2016-03-15T20:48:00Z</dcterms:created>
  <dcterms:modified xsi:type="dcterms:W3CDTF">2016-03-15T20:58:00Z</dcterms:modified>
</cp:coreProperties>
</file>