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66" w:rsidRPr="009E7166" w:rsidRDefault="009E7166" w:rsidP="009E7166">
      <w:pPr>
        <w:spacing w:before="100" w:beforeAutospacing="1" w:after="100" w:afterAutospacing="1" w:line="240" w:lineRule="auto"/>
        <w:jc w:val="center"/>
        <w:outlineLvl w:val="1"/>
        <w:rPr>
          <w:rFonts w:ascii="Times New Roman" w:eastAsia="Times New Roman" w:hAnsi="Times New Roman" w:cs="Times New Roman" w:hint="cs"/>
          <w:b/>
          <w:bCs/>
          <w:kern w:val="36"/>
          <w:sz w:val="36"/>
          <w:szCs w:val="36"/>
        </w:rPr>
      </w:pPr>
      <w:r w:rsidRPr="009E7166">
        <w:rPr>
          <w:rFonts w:ascii="Times New Roman" w:eastAsia="Times New Roman" w:hAnsi="Times New Roman" w:cs="Times New Roman"/>
          <w:b/>
          <w:bCs/>
          <w:kern w:val="36"/>
          <w:sz w:val="36"/>
          <w:szCs w:val="36"/>
          <w:rtl/>
        </w:rPr>
        <w:t>پیامدها</w:t>
      </w:r>
      <w:r>
        <w:rPr>
          <w:rFonts w:ascii="Times New Roman" w:eastAsia="Times New Roman" w:hAnsi="Times New Roman" w:cs="Times New Roman"/>
          <w:b/>
          <w:bCs/>
          <w:kern w:val="36"/>
          <w:sz w:val="36"/>
          <w:szCs w:val="36"/>
          <w:rtl/>
        </w:rPr>
        <w:t>ى رحلت پیامبر از زبان فاطمه</w:t>
      </w:r>
    </w:p>
    <w:p w:rsidR="009E7166" w:rsidRPr="009E7166" w:rsidRDefault="009E7166" w:rsidP="009E7166">
      <w:pPr>
        <w:spacing w:before="100" w:beforeAutospacing="1" w:after="100" w:afterAutospacing="1" w:line="240" w:lineRule="auto"/>
        <w:outlineLvl w:val="1"/>
        <w:rPr>
          <w:rFonts w:ascii="Times New Roman" w:eastAsia="Times New Roman" w:hAnsi="Times New Roman" w:cs="Times New Roman"/>
          <w:b/>
          <w:bCs/>
          <w:kern w:val="36"/>
          <w:sz w:val="48"/>
          <w:szCs w:val="48"/>
        </w:rPr>
      </w:pPr>
      <w:r w:rsidRPr="009E7166">
        <w:rPr>
          <w:rFonts w:ascii="Times New Roman" w:eastAsia="Times New Roman" w:hAnsi="Times New Roman" w:cs="Times New Roman"/>
          <w:b/>
          <w:bCs/>
          <w:kern w:val="36"/>
          <w:sz w:val="48"/>
          <w:szCs w:val="48"/>
        </w:rPr>
        <w:t> </w:t>
      </w:r>
    </w:p>
    <w:p w:rsidR="009E7166" w:rsidRPr="009E7166" w:rsidRDefault="009E7166" w:rsidP="009E7166">
      <w:pPr>
        <w:spacing w:beforeAutospacing="1" w:after="0" w:afterAutospacing="1" w:line="240" w:lineRule="auto"/>
        <w:outlineLvl w:val="0"/>
        <w:rPr>
          <w:rFonts w:ascii="Times New Roman" w:eastAsia="Times New Roman" w:hAnsi="Times New Roman" w:cs="Times New Roman"/>
          <w:b/>
          <w:bCs/>
          <w:kern w:val="36"/>
          <w:sz w:val="48"/>
          <w:szCs w:val="48"/>
        </w:rPr>
      </w:pP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در اینجا پیامدهاى رحلت پیامبر اكرم (صلی‏الله‏علیه‏و‏آله وسلم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از نگاه تنها یادگارش، حضرت فاطمه سلام الله علیها كه بضعة الرسول است (1</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و به تعبیر امام على (علیه السلام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بقیة النبوة (2</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است و به اعتراف دیگران، خیرة النساء و ابنة خیر الانبیاء، صادقة فی قولك، سابقة فی وفور عقلك است. (3</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بیان می شود</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او كه خلیفه اول در جمع مردم مدینه درباره‏اش چنین گفته است: انت معدن الحكمة و موطن الهدى و الرحمة و ركن الدین و عین الحجة است. (4</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 xml:space="preserve">و حتى عایشه نیز گفته است: </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ما رایت احدا كان اصدق لهجة من فاطمة الا ان یكون الذی ولدها. » (5</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 xml:space="preserve">او كه هم مردمان مكه و مدینه را دیده و هم شاهد حیات پیامبر اكرم </w:t>
      </w:r>
      <w:r w:rsidRPr="009E7166">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tl/>
        </w:rPr>
        <w:t>صلی‏الله‏علیه‏و‏آله وسلم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بوده و هم در كنار پیامبر و حضرت امیر(علیه السلام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حوادث ریز و درشت عصر نبوت و روزهاى بعد از رحلت و حوادث تلخ و دردناك آن ایام كوتاه را به دقت زیر نظر داشته است . آرى او مى‏تواند پیامدهاى تاسف بار رحلت پیامبر را خوب بیان كند . در اینجا به مواردى از آنها مى‏پردازیم</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آن حضرت در خطبه فدكیه (6</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و خطبه‏اى كه بعدا در جمع زنان مدینه كه به عیادت ایشان آمده بودند (7</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ایراد فرموده‏اند، پیامدهاى رحلت پیامبر را بیان مى‏كنند از جمله آنها عبارتند از</w:t>
      </w:r>
      <w:r w:rsidRPr="009E7166">
        <w:rPr>
          <w:rFonts w:ascii="Times New Roman" w:eastAsia="Times New Roman" w:hAnsi="Times New Roman" w:cs="Times New Roman"/>
          <w:sz w:val="24"/>
          <w:szCs w:val="24"/>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ایجاد ضعف و سستى در میان مردم</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 xml:space="preserve">استومع وهنه </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یا وهیه</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(8</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حضرت در خطبه‏اى كه در حضور زنان مدینه كه به عیادت ایشان آمده بودند نیز این امر را تذكر دادند و با تاسف فرمودند</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فقبحا لفلول الحد واللعب بعد الجد و قرع الصفاة (9</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چه زشت است ‏سستى و بازیچه بودن مردانتان پس از آن همه تلاش و كوشش</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تفرقه و اختلاف به وجود آمد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tl/>
        </w:rPr>
        <w:t>استنهر فتقه وانفتق رتقه (10</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تشتت و پراكندگى گسترش </w:t>
      </w:r>
      <w:proofErr w:type="gramStart"/>
      <w:r w:rsidRPr="009E7166">
        <w:rPr>
          <w:rFonts w:ascii="Times New Roman" w:eastAsia="Times New Roman" w:hAnsi="Times New Roman" w:cs="Times New Roman"/>
          <w:sz w:val="24"/>
          <w:szCs w:val="24"/>
          <w:rtl/>
        </w:rPr>
        <w:t>یافت .</w:t>
      </w:r>
      <w:proofErr w:type="gramEnd"/>
      <w:r w:rsidRPr="009E7166">
        <w:rPr>
          <w:rFonts w:ascii="Times New Roman" w:eastAsia="Times New Roman" w:hAnsi="Times New Roman" w:cs="Times New Roman"/>
          <w:sz w:val="24"/>
          <w:szCs w:val="24"/>
          <w:rtl/>
        </w:rPr>
        <w:t xml:space="preserve"> و وحدت و همدلى از هم گسست</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استنهر از نهر به معناى وسعت و زیادى است، فتق به معناى جدایى و پاره پاره شدن است. انفتق از انفتاق یعنى شكافتن و رتق هم به معناى همبستگى و اتحاد است</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در قرآن كریم نیز آمده است كه</w:t>
      </w:r>
      <w:r>
        <w:rPr>
          <w:rFonts w:ascii="Times New Roman" w:eastAsia="Times New Roman" w:hAnsi="Times New Roman" w:cs="Times New Roman" w:hint="cs"/>
          <w:sz w:val="24"/>
          <w:szCs w:val="24"/>
          <w:rtl/>
        </w:rPr>
        <w:t>: «</w:t>
      </w:r>
      <w:r w:rsidRPr="009E7166">
        <w:rPr>
          <w:rFonts w:ascii="Times New Roman" w:eastAsia="Times New Roman" w:hAnsi="Times New Roman" w:cs="Times New Roman"/>
          <w:b/>
          <w:bCs/>
          <w:sz w:val="24"/>
          <w:szCs w:val="24"/>
          <w:rtl/>
        </w:rPr>
        <w:t xml:space="preserve">ان السموات والارض كانتا رتقا ففتقناهما </w:t>
      </w:r>
      <w:r w:rsidRPr="009E7166">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 (آیا كافران ندیدند</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كه آسمان ها و زمین به هم پیوسته بودند و ما آنها را از یكدیگر باز كردیم</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lastRenderedPageBreak/>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امید و آرزوهاى مسلمانان به ناامیدى تبدیل شد</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آنان كه به پیامبر اكرم (صلی‏الله‏علیه‏و‏آله وسلم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و احكام عالیه اسلام ناب حضرتش دلخوش كرده بودند از نعمت دین الهى و حكومت اسلامى بهره ‏مند گشته بودند. اكنون با دیدن حوادث بعد از آن حضرت مایوس شده و امیدشان به یاس مبدل گشت</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واكدت الامال‏</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9E7166">
        <w:rPr>
          <w:rFonts w:ascii="Times New Roman" w:eastAsia="Times New Roman" w:hAnsi="Times New Roman" w:cs="Times New Roman"/>
          <w:sz w:val="24"/>
          <w:szCs w:val="24"/>
          <w:rtl/>
        </w:rPr>
        <w:t>(12</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Pr>
        <w:t xml:space="preserve"> </w:t>
      </w:r>
      <w:r w:rsidRPr="009E7166">
        <w:rPr>
          <w:rFonts w:ascii="Times New Roman" w:eastAsia="Times New Roman" w:hAnsi="Times New Roman" w:cs="Times New Roman"/>
          <w:b/>
          <w:bCs/>
          <w:sz w:val="24"/>
          <w:szCs w:val="24"/>
          <w:rtl/>
        </w:rPr>
        <w:t>به حریم پیامبر بى ‏حرمتى شد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اضیع الحریم و ازیلت الحرمة عند مماته (13</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هنوز جسد مبارك پیامبر بر زمین است. در اجتماع سقیفه (14</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بدون نظرخواهى از خاندان پیامبر به تعیین جانشین براى آن حضرت مى‏پردازند. و حق اهل بیت‏ حضرتش را ضایع مى‏كنند</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چنانكه حضرت على(علیه السلام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مى‏فرماید</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b/>
          <w:bCs/>
          <w:sz w:val="24"/>
          <w:szCs w:val="24"/>
          <w:rtl/>
        </w:rPr>
        <w:t xml:space="preserve">فوالله ما كان یلقى فى روعى، ولا یخطر ببالى ان العرب تزعج هذا الامر من بعده </w:t>
      </w:r>
      <w:r>
        <w:rPr>
          <w:rFonts w:ascii="Times New Roman" w:eastAsia="Times New Roman" w:hAnsi="Times New Roman" w:cs="Times New Roman" w:hint="cs"/>
          <w:b/>
          <w:bCs/>
          <w:sz w:val="24"/>
          <w:szCs w:val="24"/>
          <w:rtl/>
        </w:rPr>
        <w:t>(</w:t>
      </w:r>
      <w:r w:rsidRPr="009E7166">
        <w:rPr>
          <w:rFonts w:ascii="Times New Roman" w:eastAsia="Times New Roman" w:hAnsi="Times New Roman" w:cs="Times New Roman"/>
          <w:b/>
          <w:bCs/>
          <w:sz w:val="24"/>
          <w:szCs w:val="24"/>
          <w:rtl/>
        </w:rPr>
        <w:t>صلی‏الله‏علیه‏و‏آله وسلم</w:t>
      </w:r>
      <w:r>
        <w:rPr>
          <w:rFonts w:ascii="Times New Roman" w:eastAsia="Times New Roman" w:hAnsi="Times New Roman" w:cs="Times New Roman"/>
          <w:b/>
          <w:bCs/>
          <w:sz w:val="24"/>
          <w:szCs w:val="24"/>
          <w:rtl/>
        </w:rPr>
        <w:t>)</w:t>
      </w:r>
      <w:r w:rsidRPr="009E7166">
        <w:rPr>
          <w:rFonts w:ascii="Times New Roman" w:eastAsia="Times New Roman" w:hAnsi="Times New Roman" w:cs="Times New Roman"/>
          <w:b/>
          <w:bCs/>
          <w:sz w:val="24"/>
          <w:szCs w:val="24"/>
          <w:rtl/>
        </w:rPr>
        <w:t xml:space="preserve"> عن اهل بیته ولا انهم منحوه عنی من بعده</w:t>
      </w:r>
      <w:r w:rsidRPr="009E7166">
        <w:rPr>
          <w:rFonts w:ascii="Times New Roman" w:eastAsia="Times New Roman" w:hAnsi="Times New Roman" w:cs="Times New Roman"/>
          <w:sz w:val="24"/>
          <w:szCs w:val="24"/>
        </w:rPr>
        <w:t>" (15</w:t>
      </w:r>
      <w:r>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 به خدا سوگند نه در فكرم مى‏گذشت و نه در خاطرم مى‏آمد كه عرب خلافت را پس از رسول خدا از اهل بیت او بگرداند. یا مرا پس از وى از عهده دار شدن حكومت‏ باز دارند</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و حتى در لحظات واپسین عمر حضرت و هنگام رحلت ایشان، هنگامى كه قلم و لوحى طلب فرمودند به آن حضرت بى‏ حرمتى كردند و نداى " فانه یهجر" سر دادند. (16</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و مدتى هم از رحلت ‏حضرت نگذشت كه به در خانه تنها یادگارش آمدند و چه بى ‏حرمتی ها كه نكردند. چنانكه حضرت زهرا فرمود</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b/>
          <w:bCs/>
          <w:sz w:val="24"/>
          <w:szCs w:val="24"/>
          <w:rtl/>
        </w:rPr>
        <w:t>یا ابتاه یا رسول الله هكذا كان یفعل بحبیبتك وابنتك</w:t>
      </w:r>
      <w:r w:rsidRPr="009E7166">
        <w:rPr>
          <w:rFonts w:ascii="Times New Roman" w:eastAsia="Times New Roman" w:hAnsi="Times New Roman" w:cs="Times New Roman"/>
          <w:b/>
          <w:bCs/>
          <w:sz w:val="24"/>
          <w:szCs w:val="24"/>
        </w:rPr>
        <w:t xml:space="preserve"> ... </w:t>
      </w:r>
      <w:r w:rsidRPr="009E7166">
        <w:rPr>
          <w:rFonts w:ascii="Times New Roman" w:eastAsia="Times New Roman" w:hAnsi="Times New Roman" w:cs="Times New Roman"/>
          <w:sz w:val="24"/>
          <w:szCs w:val="24"/>
        </w:rPr>
        <w:t>. (17</w:t>
      </w:r>
      <w:r>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یا ابتاه یا رسول الله ماذا لقینا بعدك من ابن الخطاب وابن ابى قحافة</w:t>
      </w:r>
      <w:r w:rsidRPr="009E7166">
        <w:rPr>
          <w:rFonts w:ascii="Times New Roman" w:eastAsia="Times New Roman" w:hAnsi="Times New Roman" w:cs="Times New Roman"/>
          <w:sz w:val="24"/>
          <w:szCs w:val="24"/>
          <w:rtl/>
        </w:rPr>
        <w:t xml:space="preserve"> </w:t>
      </w:r>
      <w:r w:rsidRPr="009E7166">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 بابا اى رسول خدا پس از تو از دست زاده خطاب و زاده ابى قحافه چه بر سر ما آمد. (19</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خط نفاق و دورویى آشكار شد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ظهر فیكم حسكة النفاق</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9E7166">
        <w:rPr>
          <w:rFonts w:ascii="Times New Roman" w:eastAsia="Times New Roman" w:hAnsi="Times New Roman" w:cs="Times New Roman"/>
          <w:sz w:val="24"/>
          <w:szCs w:val="24"/>
          <w:rtl/>
        </w:rPr>
        <w:t>(20</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حضرت در جاى دیگرى از همین خطبه، با كنایه زیبایى به این نفاق افكنى پرداخته است و فرموده است</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تشربون حسوا فى ارتغاء و تمشون لاهله و ولده فى الخمر والضراء و نصبر منكم على مثل حز المدى، و وخز السنان فى الحبشاء (21</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شیر را اندك اندك با آب ممزوج نمودید و به بهانه این كه آب مى‏نوشید، شیر را خوردید. كنایه از نفاق است كه تظاهر به عملى مى‏شود كه در واقع خلاف آن است (22</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و براى نابودى اهل بیت او در پشت تپه‏ها و درختان كمین كردید . و ما بر این رفتار شما كه مانند بریدن كارد و فرو بردن نیزه در شكم، دردآور و كشنده است صبر مى‏كنیم</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دین و معنویت كم رنگ شد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b/>
          <w:bCs/>
          <w:sz w:val="24"/>
          <w:szCs w:val="24"/>
          <w:rtl/>
        </w:rPr>
        <w:t>«</w:t>
      </w:r>
      <w:r w:rsidRPr="009E7166">
        <w:rPr>
          <w:rFonts w:ascii="Times New Roman" w:eastAsia="Times New Roman" w:hAnsi="Times New Roman" w:cs="Times New Roman"/>
          <w:b/>
          <w:bCs/>
          <w:sz w:val="24"/>
          <w:szCs w:val="24"/>
          <w:rtl/>
        </w:rPr>
        <w:t>و سمل جلباب الدین</w:t>
      </w:r>
      <w:r>
        <w:rPr>
          <w:rFonts w:ascii="Times New Roman" w:eastAsia="Times New Roman" w:hAnsi="Times New Roman" w:cs="Times New Roman"/>
          <w:b/>
          <w:bCs/>
          <w:sz w:val="24"/>
          <w:szCs w:val="24"/>
          <w:rtl/>
        </w:rPr>
        <w:t>.»</w:t>
      </w:r>
      <w:r w:rsidRPr="009E7166">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w:t>
      </w:r>
      <w:r w:rsidRPr="009E7166">
        <w:rPr>
          <w:rFonts w:ascii="Times New Roman" w:eastAsia="Times New Roman" w:hAnsi="Times New Roman" w:cs="Times New Roman"/>
          <w:sz w:val="24"/>
          <w:szCs w:val="24"/>
          <w:rtl/>
        </w:rPr>
        <w:t>جلباب</w:t>
      </w:r>
      <w:r>
        <w:rPr>
          <w:rFonts w:ascii="Times New Roman" w:eastAsia="Times New Roman" w:hAnsi="Times New Roman" w:cs="Times New Roman" w:hint="cs"/>
          <w:sz w:val="24"/>
          <w:szCs w:val="24"/>
          <w:rtl/>
        </w:rPr>
        <w:t xml:space="preserve">» </w:t>
      </w:r>
      <w:r w:rsidRPr="009E7166">
        <w:rPr>
          <w:rFonts w:ascii="Times New Roman" w:eastAsia="Times New Roman" w:hAnsi="Times New Roman" w:cs="Times New Roman"/>
          <w:sz w:val="24"/>
          <w:szCs w:val="24"/>
          <w:rtl/>
        </w:rPr>
        <w:t>چادر یا عبایى كه بدن انسان را مى‏پوشاند، حضرت زهرا (سلام الله علیها</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تعبیر به جلباب دین فرموده . چون دین نیز تمام زوایاى زندگى فردى و اجتماعى انسان را در بر مى‏گیرد، همانگونه كه چادر و عباء تمام بدن انسان را در بر مى‏گیرد. (24</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و در عبارتى دیگر فرموده‏اند: «... اطفاء انوار الدین الجلى و اهمال سنن النبى الصفى (25</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به خاموش كردن انوار درخشان دین و بى‏اهمیت كردن و مهمل گذاردن سنت‏هاى پیامبر برگزیده خدا همت گماردید</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مردم دچار بى‏تفاوتى شدند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حضرت خطاب به انصار كه با جان و مال پیامبر را كمك كرده بودند چنین فرمودند</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یا معاشر الفتیة و اعضاء الملة، و حضنة الاسلام ما هذه الغمیزة فی حقی و السنة عن ظلامتى (26</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اى گروه جوانمرد، اى بازوان ملت و یاوران اسلام، این غفلت و سستى و ضعف شما در حق من و تغافل و بى‏تفاوتى و خواب آلودگى درمورد دادخواهى من، چیست؟</w:t>
      </w:r>
      <w:r>
        <w:rPr>
          <w:rFonts w:ascii="Times New Roman" w:eastAsia="Times New Roman" w:hAnsi="Times New Roman" w:cs="Times New Roman" w:hint="cs"/>
          <w:sz w:val="24"/>
          <w:szCs w:val="24"/>
          <w:rtl/>
        </w:rPr>
        <w:t>»</w:t>
      </w:r>
      <w:bookmarkStart w:id="0" w:name="_GoBack"/>
      <w:bookmarkEnd w:id="0"/>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مردم پیمان شكنى كردند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فرمودند</w:t>
      </w:r>
      <w:r w:rsidRPr="009E7166">
        <w:rPr>
          <w:rFonts w:ascii="Times New Roman" w:eastAsia="Times New Roman" w:hAnsi="Times New Roman" w:cs="Times New Roman"/>
          <w:sz w:val="24"/>
          <w:szCs w:val="24"/>
        </w:rPr>
        <w:t>:</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فانى حرتم بعد البیان و اسررتم بعد الاعلان و نكصتم بعد الاقدام (27</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پس چرا بعد از بیان حق حیران و سرگردانید، و بعد از آشكار كردن عقیده پنهان كارى مى‏كنید و بعد از آن پیشگامى و روى آوردن به عقب برگشته پشت نموده‏اید</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حضرت زهرا سلام الله علیها، در این فراز به حادثه غدیر اشاره مى‏كند كه پیامبر اكرم (صلی‏الله‏علیه‏و‏آله وسلم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آن را براى مردم بیان فرمود و به آنها اعلام كرد و آنان نیز با على (علیه السلام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بیعت كردند . اما اكنون بیعت‏ خود را شكستند</w:t>
      </w:r>
      <w:r w:rsidRPr="009E7166">
        <w:rPr>
          <w:rFonts w:ascii="Times New Roman" w:eastAsia="Times New Roman" w:hAnsi="Times New Roman" w:cs="Times New Roman"/>
          <w:sz w:val="24"/>
          <w:szCs w:val="24"/>
        </w:rPr>
        <w:t xml:space="preserve">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مردم دچار وسوسه‏هاى شیطانى شدند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تستجیبون لهتاف الشیطان الغوى (28</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به شیطان گمراه كننده پاسخ مثبت دادید</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و در جاى دیگر از خطبه فرموده‏اند:</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اطلع الشیطان راسه من مغزره هاتفا بكم فالفاكم لدعوته مستجیبین (29</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شیطان سر خود را از مخفی گاه به در آورد</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شما را فراخواند، دید كه پاسخگوى دعوت باطل او هستید</w:t>
      </w:r>
      <w:r w:rsidRPr="009E7166">
        <w:rPr>
          <w:rFonts w:ascii="Times New Roman" w:eastAsia="Times New Roman" w:hAnsi="Times New Roman" w:cs="Times New Roman"/>
          <w:sz w:val="24"/>
          <w:szCs w:val="24"/>
        </w:rPr>
        <w:t>...</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w:t>
      </w:r>
      <w:r w:rsidRPr="009E7166">
        <w:rPr>
          <w:rFonts w:ascii="Times New Roman" w:eastAsia="Times New Roman" w:hAnsi="Times New Roman" w:cs="Times New Roman"/>
          <w:sz w:val="24"/>
          <w:szCs w:val="24"/>
          <w:rtl/>
        </w:rPr>
        <w:t>مغزر</w:t>
      </w:r>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 xml:space="preserve">یعنى مخفى </w:t>
      </w:r>
      <w:proofErr w:type="gramStart"/>
      <w:r w:rsidRPr="009E7166">
        <w:rPr>
          <w:rFonts w:ascii="Times New Roman" w:eastAsia="Times New Roman" w:hAnsi="Times New Roman" w:cs="Times New Roman"/>
          <w:sz w:val="24"/>
          <w:szCs w:val="24"/>
          <w:rtl/>
        </w:rPr>
        <w:t>گاه .</w:t>
      </w:r>
      <w:proofErr w:type="gramEnd"/>
      <w:r w:rsidRPr="009E7166">
        <w:rPr>
          <w:rFonts w:ascii="Times New Roman" w:eastAsia="Times New Roman" w:hAnsi="Times New Roman" w:cs="Times New Roman"/>
          <w:sz w:val="24"/>
          <w:szCs w:val="24"/>
          <w:rtl/>
        </w:rPr>
        <w:t xml:space="preserve"> در اینجا شیطان به سنگ پشت و خارپشت تشبیه شده است. چون آن هم وقتى دشمن را مى‏بیند، سرش را در لاك خود فرو مى‏برد. اما وقتى كه محیط را بدون خطر احساس كرد، سر خود را بیرون مى‏آورد. شیطان نیز تا وقتى كه پیامبراكرم (صلی‏الله‏علیه‏و‏آله وسلم</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زنده بودند، سرش را در لاك خود فرو برده بود و جرات نمى‏كرد خود را نشان دهد . ولى بعد از آن سرش را بیرون آورد و به تحریك مردم پرداخت. (30</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 xml:space="preserve"> </w:t>
      </w:r>
      <w:r w:rsidRPr="009E7166">
        <w:rPr>
          <w:rFonts w:ascii="Times New Roman" w:eastAsia="Times New Roman" w:hAnsi="Times New Roman" w:cs="Times New Roman"/>
          <w:b/>
          <w:bCs/>
          <w:sz w:val="24"/>
          <w:szCs w:val="24"/>
          <w:rtl/>
        </w:rPr>
        <w:t>شتاب در شنیدن حرف هاى بیهوده و بى‏اساس</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معاشرالناس المسرعة الى قیل الباطل المغضیة على الفعل القبیح الخاسر (31</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اى گروه مردم كه به سوى شنیدن حرف هاى بیهوده شتاب مى‏كنید، و كردار زشت زیانبار را نادیده مى‏گیرید</w:t>
      </w:r>
      <w:r>
        <w:rPr>
          <w:rFonts w:ascii="Times New Roman" w:eastAsia="Times New Roman" w:hAnsi="Times New Roman" w:cs="Times New Roman"/>
          <w:sz w:val="24"/>
          <w:szCs w:val="24"/>
          <w:rtl/>
        </w:rPr>
        <w:t>.»</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lastRenderedPageBreak/>
        <w:t xml:space="preserve"> </w:t>
      </w:r>
      <w:r w:rsidRPr="009E7166">
        <w:rPr>
          <w:rFonts w:ascii="Times New Roman" w:eastAsia="Times New Roman" w:hAnsi="Times New Roman" w:cs="Times New Roman" w:hint="cs"/>
          <w:b/>
          <w:bCs/>
          <w:sz w:val="24"/>
          <w:szCs w:val="24"/>
          <w:rtl/>
        </w:rPr>
        <w:t>ن</w:t>
      </w:r>
      <w:r w:rsidRPr="009E7166">
        <w:rPr>
          <w:rFonts w:ascii="Times New Roman" w:eastAsia="Times New Roman" w:hAnsi="Times New Roman" w:cs="Times New Roman"/>
          <w:b/>
          <w:bCs/>
          <w:sz w:val="24"/>
          <w:szCs w:val="24"/>
          <w:rtl/>
        </w:rPr>
        <w:t>طفه مظاهر فساد روئیدن گرفت</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در پایان خطبه عیادت خطاب به زنان مهاجر و انصار فرمود</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اما لعمری لقد لقحت فنظرة ریثما تنتج ثم احتلبوا مل‏ء القعب دما عبیطا و ذعافا مبیدا(32</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 به جان خودم سوگند نطفه فساد بسته شد، باید انتظار كشید تا كى مرض فساد پیكر جامعه اسلامى را از پاى درآورد كه پس از این از پستان شتر به جاى شیر خون بدوشید و زهرى كه به سرعت هلاك كننده است</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b/>
          <w:bCs/>
          <w:sz w:val="24"/>
          <w:szCs w:val="24"/>
          <w:rtl/>
        </w:rPr>
        <w:t>فرصت طلبان به سر كار آمدند</w:t>
      </w:r>
      <w:r>
        <w:rPr>
          <w:rFonts w:ascii="Times New Roman" w:eastAsia="Times New Roman" w:hAnsi="Times New Roman" w:cs="Times New Roman"/>
          <w:b/>
          <w:bCs/>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tl/>
        </w:rPr>
        <w:t>حضرت سلام الله علیها در فرازهایى از خطبه فدكیه به گروه هاى فرصت طلب كه منتظر بودند تا بعد از رحلت پیامبر از موقعیت ‏بهره برند پرداخته است . و ویژگى‏هاى آنها را نیز بیان فرموده است</w:t>
      </w:r>
      <w:r w:rsidRPr="009E7166">
        <w:rPr>
          <w:rFonts w:ascii="Times New Roman" w:eastAsia="Times New Roman" w:hAnsi="Times New Roman" w:cs="Times New Roman"/>
          <w:sz w:val="24"/>
          <w:szCs w:val="24"/>
        </w:rPr>
        <w:t xml:space="preserve">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t>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منبع: تبیان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گردآوری: </w:t>
      </w:r>
      <w:r w:rsidRPr="009E7166">
        <w:rPr>
          <w:rFonts w:ascii="Times New Roman" w:eastAsia="Times New Roman" w:hAnsi="Times New Roman" w:cs="Times New Roman"/>
          <w:sz w:val="24"/>
          <w:szCs w:val="24"/>
          <w:rtl/>
        </w:rPr>
        <w:t>شکوری</w:t>
      </w:r>
    </w:p>
    <w:p w:rsidR="009E7166" w:rsidRPr="009E7166" w:rsidRDefault="009E7166" w:rsidP="009E7166">
      <w:pPr>
        <w:spacing w:after="0" w:line="240" w:lineRule="auto"/>
        <w:rPr>
          <w:rFonts w:ascii="Times New Roman" w:eastAsia="Times New Roman" w:hAnsi="Times New Roman" w:cs="Times New Roman"/>
          <w:sz w:val="24"/>
          <w:szCs w:val="24"/>
        </w:rPr>
      </w:pPr>
      <w:r w:rsidRPr="009E7166">
        <w:rPr>
          <w:rFonts w:ascii="Times New Roman" w:eastAsia="Times New Roman" w:hAnsi="Times New Roman" w:cs="Times New Roman"/>
          <w:sz w:val="24"/>
          <w:szCs w:val="24"/>
        </w:rPr>
        <w:pict>
          <v:rect id="_x0000_i1025" style="width:0;height:1.5pt" o:hralign="center" o:hrstd="t" o:hr="t" fillcolor="#a0a0a0" stroked="f"/>
        </w:pic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بحارالانوار، ج‏43، ص‏23، حدیث‏17</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(اسوه</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ج‏1، ص‏282</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3 .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270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4 .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277</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5 .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الغدیر (دارالكتب آخوندى</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ج‏2، ص‏312</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6 .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این خطبه در منابع متعددى آمده است . از جمله: الاحتجاج طبرسى (چاپ اسوه</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ج‏1، شرح نهج البلاغه ابن ابى الحدید معتزلى، ج‏16، ص‏211 به بعد . و در كتاب هاى مستقلى نیز ترجمه و شرح آن نوشته شده است از جمله: درس هایى از خطبه حضرت زهرا، حسینعلى منتظرى . شرح خطبه حضرت زهرا در دو جلد</w:t>
      </w:r>
      <w:r w:rsidRPr="009E7166">
        <w:rPr>
          <w:rFonts w:ascii="Times New Roman" w:eastAsia="Times New Roman" w:hAnsi="Times New Roman" w:cs="Times New Roman"/>
          <w:sz w:val="24"/>
          <w:szCs w:val="24"/>
        </w:rPr>
        <w:t xml:space="preserve"> . </w:t>
      </w:r>
      <w:r w:rsidRPr="009E7166">
        <w:rPr>
          <w:rFonts w:ascii="Times New Roman" w:eastAsia="Times New Roman" w:hAnsi="Times New Roman" w:cs="Times New Roman"/>
          <w:sz w:val="24"/>
          <w:szCs w:val="24"/>
          <w:rtl/>
        </w:rPr>
        <w:t>عزالدین حسینى زنجانى، قطره‏اى از دریا . على ربانى گلپایگانى</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7 .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ر . ك به الاحتجاج، ج‏1، بحارالانوار، ج‏43، ص‏158 به بعد</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8 .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ص‏270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9 .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ص‏287</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10 .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ص‏270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11 .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انبیاء، 30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12 .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ص‏270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13 .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lastRenderedPageBreak/>
        <w:t>14 .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درباره سقیفه از جمله ر . ك به شرح نهج البلاغه ابن ابى الحدید، ج‏2، ص‏20 - 60 و ج‏6، صص 5 - 50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15 .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نهج البلاغه، نامه‏62</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16 .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الارشاد شیخ مفید، ترجمه آقاى رسولى محلاتى چاپ دفتر نشر فرهنگ اسلامى، ج‏1، ص‏250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18 .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نهج الحیاة فرهنگ سخنان فاطمه سلام الله علیها، 147</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19 .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250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20 .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امام على، عبدالفتاح عبدالمقصود، (ترجمه به فارسى</w:t>
      </w:r>
      <w:r>
        <w:rPr>
          <w:rFonts w:ascii="Times New Roman" w:eastAsia="Times New Roman" w:hAnsi="Times New Roman" w:cs="Times New Roman"/>
          <w:sz w:val="24"/>
          <w:szCs w:val="24"/>
          <w:rtl/>
        </w:rPr>
        <w:t>)</w:t>
      </w:r>
      <w:r w:rsidRPr="009E7166">
        <w:rPr>
          <w:rFonts w:ascii="Times New Roman" w:eastAsia="Times New Roman" w:hAnsi="Times New Roman" w:cs="Times New Roman"/>
          <w:sz w:val="24"/>
          <w:szCs w:val="24"/>
          <w:rtl/>
        </w:rPr>
        <w:t xml:space="preserve"> ج‏1، ص‏328</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21 .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صص‏263 و 264</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22 .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266</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23 .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ر . ك به قطره‏اى از دریا، شرح خطبه حضرت زهرا، 126</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24 .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ص‏264</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25 .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درس هایى از خطبه حضرت زهرا، ص 118</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26 .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ص‏266</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27 .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269</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28 .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272</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29 .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266</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30 .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264</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31 .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درس هایى از خطبه حضرت زهرا، ص120</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32 .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الاحتجاج، ج‏1، ص‏278</w:t>
      </w:r>
      <w:r w:rsidRPr="009E7166">
        <w:rPr>
          <w:rFonts w:ascii="Times New Roman" w:eastAsia="Times New Roman" w:hAnsi="Times New Roman" w:cs="Times New Roman"/>
          <w:sz w:val="24"/>
          <w:szCs w:val="24"/>
        </w:rPr>
        <w:t xml:space="preserve"> . </w:t>
      </w:r>
    </w:p>
    <w:p w:rsidR="009E7166" w:rsidRPr="009E7166" w:rsidRDefault="009E7166" w:rsidP="009E7166">
      <w:pPr>
        <w:spacing w:before="100" w:beforeAutospacing="1" w:after="100" w:afterAutospacing="1" w:line="240" w:lineRule="auto"/>
        <w:rPr>
          <w:rFonts w:ascii="Times New Roman" w:eastAsia="Times New Roman" w:hAnsi="Times New Roman" w:cs="Times New Roman"/>
          <w:sz w:val="24"/>
          <w:szCs w:val="24"/>
        </w:rPr>
      </w:pPr>
      <w:proofErr w:type="gramStart"/>
      <w:r w:rsidRPr="009E7166">
        <w:rPr>
          <w:rFonts w:ascii="Times New Roman" w:eastAsia="Times New Roman" w:hAnsi="Times New Roman" w:cs="Times New Roman"/>
          <w:sz w:val="24"/>
          <w:szCs w:val="24"/>
        </w:rPr>
        <w:t>33 .</w:t>
      </w:r>
      <w:proofErr w:type="gramEnd"/>
      <w:r w:rsidRPr="009E7166">
        <w:rPr>
          <w:rFonts w:ascii="Times New Roman" w:eastAsia="Times New Roman" w:hAnsi="Times New Roman" w:cs="Times New Roman"/>
          <w:sz w:val="24"/>
          <w:szCs w:val="24"/>
        </w:rPr>
        <w:t xml:space="preserve"> </w:t>
      </w:r>
      <w:r w:rsidRPr="009E7166">
        <w:rPr>
          <w:rFonts w:ascii="Times New Roman" w:eastAsia="Times New Roman" w:hAnsi="Times New Roman" w:cs="Times New Roman"/>
          <w:sz w:val="24"/>
          <w:szCs w:val="24"/>
          <w:rtl/>
        </w:rPr>
        <w:t>همان، ص 290</w:t>
      </w:r>
      <w:r w:rsidRPr="009E7166">
        <w:rPr>
          <w:rFonts w:ascii="Times New Roman" w:eastAsia="Times New Roman" w:hAnsi="Times New Roman" w:cs="Times New Roman"/>
          <w:sz w:val="24"/>
          <w:szCs w:val="24"/>
        </w:rPr>
        <w:t xml:space="preserve"> .</w:t>
      </w:r>
    </w:p>
    <w:p w:rsidR="00FA0ECD" w:rsidRDefault="009E7166" w:rsidP="009E7166"/>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4AA9"/>
    <w:multiLevelType w:val="hybridMultilevel"/>
    <w:tmpl w:val="A5AC2F32"/>
    <w:lvl w:ilvl="0" w:tplc="E4785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66"/>
    <w:rsid w:val="005542A2"/>
    <w:rsid w:val="005F525B"/>
    <w:rsid w:val="009E71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71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1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71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166"/>
    <w:rPr>
      <w:b/>
      <w:bCs/>
    </w:rPr>
  </w:style>
  <w:style w:type="paragraph" w:styleId="BalloonText">
    <w:name w:val="Balloon Text"/>
    <w:basedOn w:val="Normal"/>
    <w:link w:val="BalloonTextChar"/>
    <w:uiPriority w:val="99"/>
    <w:semiHidden/>
    <w:unhideWhenUsed/>
    <w:rsid w:val="009E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66"/>
    <w:rPr>
      <w:rFonts w:ascii="Tahoma" w:hAnsi="Tahoma" w:cs="Tahoma"/>
      <w:sz w:val="16"/>
      <w:szCs w:val="16"/>
    </w:rPr>
  </w:style>
  <w:style w:type="paragraph" w:styleId="ListParagraph">
    <w:name w:val="List Paragraph"/>
    <w:basedOn w:val="Normal"/>
    <w:uiPriority w:val="34"/>
    <w:qFormat/>
    <w:rsid w:val="009E7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71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1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71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166"/>
    <w:rPr>
      <w:b/>
      <w:bCs/>
    </w:rPr>
  </w:style>
  <w:style w:type="paragraph" w:styleId="BalloonText">
    <w:name w:val="Balloon Text"/>
    <w:basedOn w:val="Normal"/>
    <w:link w:val="BalloonTextChar"/>
    <w:uiPriority w:val="99"/>
    <w:semiHidden/>
    <w:unhideWhenUsed/>
    <w:rsid w:val="009E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66"/>
    <w:rPr>
      <w:rFonts w:ascii="Tahoma" w:hAnsi="Tahoma" w:cs="Tahoma"/>
      <w:sz w:val="16"/>
      <w:szCs w:val="16"/>
    </w:rPr>
  </w:style>
  <w:style w:type="paragraph" w:styleId="ListParagraph">
    <w:name w:val="List Paragraph"/>
    <w:basedOn w:val="Normal"/>
    <w:uiPriority w:val="34"/>
    <w:qFormat/>
    <w:rsid w:val="009E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581">
      <w:bodyDiv w:val="1"/>
      <w:marLeft w:val="0"/>
      <w:marRight w:val="0"/>
      <w:marTop w:val="0"/>
      <w:marBottom w:val="0"/>
      <w:divBdr>
        <w:top w:val="none" w:sz="0" w:space="0" w:color="auto"/>
        <w:left w:val="none" w:sz="0" w:space="0" w:color="auto"/>
        <w:bottom w:val="none" w:sz="0" w:space="0" w:color="auto"/>
        <w:right w:val="none" w:sz="0" w:space="0" w:color="auto"/>
      </w:divBdr>
      <w:divsChild>
        <w:div w:id="1360623979">
          <w:marLeft w:val="0"/>
          <w:marRight w:val="0"/>
          <w:marTop w:val="0"/>
          <w:marBottom w:val="0"/>
          <w:divBdr>
            <w:top w:val="none" w:sz="0" w:space="0" w:color="auto"/>
            <w:left w:val="none" w:sz="0" w:space="0" w:color="auto"/>
            <w:bottom w:val="none" w:sz="0" w:space="0" w:color="auto"/>
            <w:right w:val="none" w:sz="0" w:space="0" w:color="auto"/>
          </w:divBdr>
        </w:div>
        <w:div w:id="1046636565">
          <w:marLeft w:val="0"/>
          <w:marRight w:val="0"/>
          <w:marTop w:val="0"/>
          <w:marBottom w:val="0"/>
          <w:divBdr>
            <w:top w:val="none" w:sz="0" w:space="0" w:color="auto"/>
            <w:left w:val="none" w:sz="0" w:space="0" w:color="auto"/>
            <w:bottom w:val="none" w:sz="0" w:space="0" w:color="auto"/>
            <w:right w:val="none" w:sz="0" w:space="0" w:color="auto"/>
          </w:divBdr>
          <w:divsChild>
            <w:div w:id="950162609">
              <w:marLeft w:val="0"/>
              <w:marRight w:val="0"/>
              <w:marTop w:val="0"/>
              <w:marBottom w:val="0"/>
              <w:divBdr>
                <w:top w:val="none" w:sz="0" w:space="0" w:color="auto"/>
                <w:left w:val="none" w:sz="0" w:space="0" w:color="auto"/>
                <w:bottom w:val="none" w:sz="0" w:space="0" w:color="auto"/>
                <w:right w:val="none" w:sz="0" w:space="0" w:color="auto"/>
              </w:divBdr>
            </w:div>
          </w:divsChild>
        </w:div>
        <w:div w:id="149297808">
          <w:marLeft w:val="0"/>
          <w:marRight w:val="0"/>
          <w:marTop w:val="0"/>
          <w:marBottom w:val="0"/>
          <w:divBdr>
            <w:top w:val="none" w:sz="0" w:space="0" w:color="auto"/>
            <w:left w:val="none" w:sz="0" w:space="0" w:color="auto"/>
            <w:bottom w:val="none" w:sz="0" w:space="0" w:color="auto"/>
            <w:right w:val="none" w:sz="0" w:space="0" w:color="auto"/>
          </w:divBdr>
        </w:div>
        <w:div w:id="858860026">
          <w:marLeft w:val="0"/>
          <w:marRight w:val="0"/>
          <w:marTop w:val="0"/>
          <w:marBottom w:val="0"/>
          <w:divBdr>
            <w:top w:val="none" w:sz="0" w:space="0" w:color="auto"/>
            <w:left w:val="none" w:sz="0" w:space="0" w:color="auto"/>
            <w:bottom w:val="none" w:sz="0" w:space="0" w:color="auto"/>
            <w:right w:val="none" w:sz="0" w:space="0" w:color="auto"/>
          </w:divBdr>
          <w:divsChild>
            <w:div w:id="491724373">
              <w:marLeft w:val="0"/>
              <w:marRight w:val="0"/>
              <w:marTop w:val="0"/>
              <w:marBottom w:val="0"/>
              <w:divBdr>
                <w:top w:val="none" w:sz="0" w:space="0" w:color="auto"/>
                <w:left w:val="none" w:sz="0" w:space="0" w:color="auto"/>
                <w:bottom w:val="none" w:sz="0" w:space="0" w:color="auto"/>
                <w:right w:val="none" w:sz="0" w:space="0" w:color="auto"/>
              </w:divBdr>
            </w:div>
          </w:divsChild>
        </w:div>
        <w:div w:id="204821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2015-11-26T16:34:00Z</dcterms:created>
  <dcterms:modified xsi:type="dcterms:W3CDTF">2015-11-26T16:41:00Z</dcterms:modified>
</cp:coreProperties>
</file>